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658" w:rsidRDefault="00247C0B" w:rsidP="008F1658">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8F1658" w:rsidRDefault="00247C0B" w:rsidP="008F1658">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8F1658" w:rsidRDefault="00247C0B" w:rsidP="008F1658">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8F1658" w:rsidRDefault="00247C0B" w:rsidP="008F1658">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B3A96" w:rsidRPr="008F1658" w:rsidRDefault="00247C0B" w:rsidP="008F1658">
      <w:pPr>
        <w:spacing w:line="480" w:lineRule="auto"/>
        <w:jc w:val="center"/>
        <w:rPr>
          <w:rFonts w:ascii="Times New Roman" w:hAnsi="Times New Roman" w:cs="Times New Roman"/>
          <w:sz w:val="24"/>
          <w:szCs w:val="24"/>
        </w:rPr>
      </w:pPr>
      <w:r w:rsidRPr="008F1658">
        <w:rPr>
          <w:rFonts w:ascii="Times New Roman" w:hAnsi="Times New Roman" w:cs="Times New Roman"/>
          <w:sz w:val="24"/>
          <w:szCs w:val="24"/>
        </w:rPr>
        <w:t>The case study of Hall v. Horizon House Microwave</w:t>
      </w:r>
    </w:p>
    <w:p w:rsidR="00B2538F" w:rsidRDefault="00247C0B" w:rsidP="00B2538F">
      <w:pPr>
        <w:spacing w:line="480" w:lineRule="auto"/>
        <w:jc w:val="both"/>
        <w:rPr>
          <w:rFonts w:ascii="Times New Roman" w:hAnsi="Times New Roman" w:cs="Times New Roman"/>
          <w:sz w:val="24"/>
          <w:szCs w:val="24"/>
        </w:rPr>
      </w:pPr>
      <w:r w:rsidRPr="008F1658">
        <w:rPr>
          <w:rFonts w:ascii="Times New Roman" w:hAnsi="Times New Roman" w:cs="Times New Roman"/>
          <w:sz w:val="24"/>
          <w:szCs w:val="24"/>
        </w:rPr>
        <w:t xml:space="preserve">The </w:t>
      </w:r>
      <w:r w:rsidRPr="008F1658">
        <w:rPr>
          <w:rFonts w:ascii="Times New Roman" w:hAnsi="Times New Roman" w:cs="Times New Roman"/>
          <w:sz w:val="24"/>
          <w:szCs w:val="24"/>
        </w:rPr>
        <w:t>case</w:t>
      </w:r>
      <w:r w:rsidR="00B2538F">
        <w:rPr>
          <w:rFonts w:ascii="Times New Roman" w:hAnsi="Times New Roman" w:cs="Times New Roman"/>
          <w:sz w:val="24"/>
          <w:szCs w:val="24"/>
        </w:rPr>
        <w:t xml:space="preserve"> facts</w:t>
      </w:r>
    </w:p>
    <w:p w:rsidR="00066E46" w:rsidRPr="008F1658" w:rsidRDefault="00247C0B" w:rsidP="008F1658">
      <w:pPr>
        <w:spacing w:line="480" w:lineRule="auto"/>
        <w:ind w:firstLine="720"/>
        <w:jc w:val="both"/>
        <w:rPr>
          <w:rFonts w:ascii="Times New Roman" w:hAnsi="Times New Roman" w:cs="Times New Roman"/>
          <w:sz w:val="24"/>
          <w:szCs w:val="24"/>
        </w:rPr>
      </w:pPr>
      <w:r w:rsidRPr="008F1658">
        <w:rPr>
          <w:rFonts w:ascii="Times New Roman" w:hAnsi="Times New Roman" w:cs="Times New Roman"/>
          <w:sz w:val="24"/>
          <w:szCs w:val="24"/>
        </w:rPr>
        <w:t xml:space="preserve"> Mitch Hall had worked from 1967 to September </w:t>
      </w:r>
      <w:r w:rsidR="00B2538F" w:rsidRPr="008F1658">
        <w:rPr>
          <w:rFonts w:ascii="Times New Roman" w:hAnsi="Times New Roman" w:cs="Times New Roman"/>
          <w:sz w:val="24"/>
          <w:szCs w:val="24"/>
        </w:rPr>
        <w:t>1979 for</w:t>
      </w:r>
      <w:r w:rsidRPr="008F1658">
        <w:rPr>
          <w:rFonts w:ascii="Times New Roman" w:hAnsi="Times New Roman" w:cs="Times New Roman"/>
          <w:sz w:val="24"/>
          <w:szCs w:val="24"/>
        </w:rPr>
        <w:t xml:space="preserve"> Horizon House Microwave, Inc., a publishing enterprise, and its subsidiary Horizon House </w:t>
      </w:r>
      <w:r w:rsidRPr="008F1658">
        <w:rPr>
          <w:rFonts w:ascii="Times New Roman" w:hAnsi="Times New Roman" w:cs="Times New Roman"/>
          <w:sz w:val="24"/>
          <w:szCs w:val="24"/>
        </w:rPr>
        <w:t>International</w:t>
      </w:r>
      <w:r w:rsidR="00773369" w:rsidRPr="008F1658">
        <w:rPr>
          <w:rFonts w:ascii="Times New Roman" w:hAnsi="Times New Roman" w:cs="Times New Roman"/>
          <w:sz w:val="24"/>
          <w:szCs w:val="24"/>
        </w:rPr>
        <w:t>, which</w:t>
      </w:r>
      <w:r w:rsidRPr="008F1658">
        <w:rPr>
          <w:rFonts w:ascii="Times New Roman" w:hAnsi="Times New Roman" w:cs="Times New Roman"/>
          <w:sz w:val="24"/>
          <w:szCs w:val="24"/>
        </w:rPr>
        <w:t xml:space="preserve"> operated</w:t>
      </w:r>
      <w:r w:rsidRPr="008F1658">
        <w:rPr>
          <w:rFonts w:ascii="Times New Roman" w:hAnsi="Times New Roman" w:cs="Times New Roman"/>
          <w:sz w:val="24"/>
          <w:szCs w:val="24"/>
        </w:rPr>
        <w:t xml:space="preserve"> and promoted trade exhibitions. At HHI and Microwave and, he possessed significant executive responsibility at HHI, towards the termination of his tenure. The complaint by Hall says that</w:t>
      </w:r>
      <w:r w:rsidRPr="008F1658">
        <w:rPr>
          <w:rFonts w:ascii="Times New Roman" w:hAnsi="Times New Roman" w:cs="Times New Roman"/>
          <w:sz w:val="24"/>
          <w:szCs w:val="24"/>
        </w:rPr>
        <w:t xml:space="preserve"> in March 1978, the president of HHI</w:t>
      </w:r>
      <w:r w:rsidRPr="008F1658">
        <w:rPr>
          <w:rFonts w:ascii="Times New Roman" w:hAnsi="Times New Roman" w:cs="Times New Roman"/>
          <w:sz w:val="24"/>
          <w:szCs w:val="24"/>
        </w:rPr>
        <w:t xml:space="preserve"> and Microwave, William Bazzy, had promised him</w:t>
      </w:r>
      <w:r w:rsidRPr="008F1658">
        <w:rPr>
          <w:rFonts w:ascii="Times New Roman" w:hAnsi="Times New Roman" w:cs="Times New Roman"/>
          <w:sz w:val="24"/>
          <w:szCs w:val="24"/>
        </w:rPr>
        <w:t xml:space="preserve"> orally</w:t>
      </w:r>
      <w:r w:rsidRPr="008F1658">
        <w:rPr>
          <w:rFonts w:ascii="Times New Roman" w:hAnsi="Times New Roman" w:cs="Times New Roman"/>
          <w:sz w:val="24"/>
          <w:szCs w:val="24"/>
        </w:rPr>
        <w:t xml:space="preserve"> that he would be offered an option to buy</w:t>
      </w:r>
      <w:r w:rsidRPr="008F1658">
        <w:rPr>
          <w:rFonts w:ascii="Times New Roman" w:hAnsi="Times New Roman" w:cs="Times New Roman"/>
          <w:sz w:val="24"/>
          <w:szCs w:val="24"/>
        </w:rPr>
        <w:t xml:space="preserve"> 1000 shares of the company stock at a price of $20 per share.</w:t>
      </w:r>
    </w:p>
    <w:p w:rsidR="00D661A5" w:rsidRPr="008F1658" w:rsidRDefault="00247C0B" w:rsidP="008F1658">
      <w:pPr>
        <w:spacing w:line="480" w:lineRule="auto"/>
        <w:ind w:firstLine="720"/>
        <w:jc w:val="both"/>
        <w:rPr>
          <w:rFonts w:ascii="Times New Roman" w:hAnsi="Times New Roman" w:cs="Times New Roman"/>
          <w:sz w:val="24"/>
          <w:szCs w:val="24"/>
        </w:rPr>
      </w:pPr>
      <w:r w:rsidRPr="008F1658">
        <w:rPr>
          <w:rFonts w:ascii="Times New Roman" w:hAnsi="Times New Roman" w:cs="Times New Roman"/>
          <w:sz w:val="24"/>
          <w:szCs w:val="24"/>
        </w:rPr>
        <w:t xml:space="preserve">The issue on the case was whether a stock option which was part of an employment agreement </w:t>
      </w:r>
      <w:r w:rsidRPr="008F1658">
        <w:rPr>
          <w:rFonts w:ascii="Times New Roman" w:hAnsi="Times New Roman" w:cs="Times New Roman"/>
          <w:sz w:val="24"/>
          <w:szCs w:val="24"/>
        </w:rPr>
        <w:t xml:space="preserve">is exempted from a Statutes of </w:t>
      </w:r>
      <w:r w:rsidRPr="008F1658">
        <w:rPr>
          <w:rFonts w:ascii="Times New Roman" w:hAnsi="Times New Roman" w:cs="Times New Roman"/>
          <w:sz w:val="24"/>
          <w:szCs w:val="24"/>
        </w:rPr>
        <w:t>Frauds, which</w:t>
      </w:r>
      <w:r w:rsidR="00773369">
        <w:rPr>
          <w:rFonts w:ascii="Times New Roman" w:hAnsi="Times New Roman" w:cs="Times New Roman"/>
          <w:sz w:val="24"/>
          <w:szCs w:val="24"/>
        </w:rPr>
        <w:t xml:space="preserve"> is a </w:t>
      </w:r>
      <w:r w:rsidR="00773369" w:rsidRPr="008F1658">
        <w:rPr>
          <w:rFonts w:ascii="Times New Roman" w:hAnsi="Times New Roman" w:cs="Times New Roman"/>
          <w:sz w:val="24"/>
          <w:szCs w:val="24"/>
        </w:rPr>
        <w:t>requirement</w:t>
      </w:r>
      <w:r w:rsidRPr="008F1658">
        <w:rPr>
          <w:rFonts w:ascii="Times New Roman" w:hAnsi="Times New Roman" w:cs="Times New Roman"/>
          <w:sz w:val="24"/>
          <w:szCs w:val="24"/>
        </w:rPr>
        <w:t xml:space="preserve"> of G.L.c 106, 8-319.</w:t>
      </w:r>
    </w:p>
    <w:p w:rsidR="00986231" w:rsidRPr="008F1658" w:rsidRDefault="00247C0B" w:rsidP="008F1658">
      <w:pPr>
        <w:spacing w:line="480" w:lineRule="auto"/>
        <w:ind w:firstLine="720"/>
        <w:jc w:val="both"/>
        <w:rPr>
          <w:rFonts w:ascii="Times New Roman" w:hAnsi="Times New Roman" w:cs="Times New Roman"/>
          <w:sz w:val="24"/>
          <w:szCs w:val="24"/>
        </w:rPr>
      </w:pPr>
      <w:r w:rsidRPr="008F1658">
        <w:rPr>
          <w:rFonts w:ascii="Times New Roman" w:hAnsi="Times New Roman" w:cs="Times New Roman"/>
          <w:sz w:val="24"/>
          <w:szCs w:val="24"/>
        </w:rPr>
        <w:t>The law that applies the s</w:t>
      </w:r>
      <w:r w:rsidR="00773369">
        <w:rPr>
          <w:rFonts w:ascii="Times New Roman" w:hAnsi="Times New Roman" w:cs="Times New Roman"/>
          <w:sz w:val="24"/>
          <w:szCs w:val="24"/>
        </w:rPr>
        <w:t>ituation is “Section 8-319.The S</w:t>
      </w:r>
      <w:r w:rsidRPr="008F1658">
        <w:rPr>
          <w:rFonts w:ascii="Times New Roman" w:hAnsi="Times New Roman" w:cs="Times New Roman"/>
          <w:sz w:val="24"/>
          <w:szCs w:val="24"/>
        </w:rPr>
        <w:t>tatute of Frauds". The law states that a contract for the sale of sec</w:t>
      </w:r>
      <w:r w:rsidR="00773369">
        <w:rPr>
          <w:rFonts w:ascii="Times New Roman" w:hAnsi="Times New Roman" w:cs="Times New Roman"/>
          <w:sz w:val="24"/>
          <w:szCs w:val="24"/>
        </w:rPr>
        <w:t>urities cannot be enforced by defense or</w:t>
      </w:r>
      <w:r w:rsidRPr="008F1658">
        <w:rPr>
          <w:rFonts w:ascii="Times New Roman" w:hAnsi="Times New Roman" w:cs="Times New Roman"/>
          <w:sz w:val="24"/>
          <w:szCs w:val="24"/>
        </w:rPr>
        <w:t xml:space="preserve"> action unless:</w:t>
      </w:r>
    </w:p>
    <w:p w:rsidR="008F1658" w:rsidRDefault="00247C0B" w:rsidP="008F1658">
      <w:pPr>
        <w:pStyle w:val="ListParagraph"/>
        <w:numPr>
          <w:ilvl w:val="0"/>
          <w:numId w:val="1"/>
        </w:numPr>
        <w:spacing w:line="480" w:lineRule="auto"/>
        <w:jc w:val="both"/>
        <w:rPr>
          <w:rFonts w:ascii="Times New Roman" w:hAnsi="Times New Roman" w:cs="Times New Roman"/>
          <w:sz w:val="24"/>
          <w:szCs w:val="24"/>
        </w:rPr>
      </w:pPr>
      <w:r w:rsidRPr="008F1658">
        <w:rPr>
          <w:rFonts w:ascii="Times New Roman" w:hAnsi="Times New Roman" w:cs="Times New Roman"/>
          <w:sz w:val="24"/>
          <w:szCs w:val="24"/>
        </w:rPr>
        <w:t>There</w:t>
      </w:r>
      <w:r w:rsidRPr="008F1658">
        <w:rPr>
          <w:rFonts w:ascii="Times New Roman" w:hAnsi="Times New Roman" w:cs="Times New Roman"/>
          <w:sz w:val="24"/>
          <w:szCs w:val="24"/>
        </w:rPr>
        <w:t xml:space="preserve"> </w:t>
      </w:r>
      <w:r w:rsidRPr="008F1658">
        <w:rPr>
          <w:rFonts w:ascii="Times New Roman" w:hAnsi="Times New Roman" w:cs="Times New Roman"/>
          <w:sz w:val="24"/>
          <w:szCs w:val="24"/>
        </w:rPr>
        <w:t>is a</w:t>
      </w:r>
      <w:r w:rsidRPr="008F1658">
        <w:rPr>
          <w:rFonts w:ascii="Times New Roman" w:hAnsi="Times New Roman" w:cs="Times New Roman"/>
          <w:sz w:val="24"/>
          <w:szCs w:val="24"/>
        </w:rPr>
        <w:t xml:space="preserve"> writing signed by the party against whom they seek enforcement or by their authorized broker or agent, sufficient to prove that contact had been made for the sale of any stated described securities quantity at a stated o</w:t>
      </w:r>
      <w:r w:rsidRPr="008F1658">
        <w:rPr>
          <w:rFonts w:ascii="Times New Roman" w:hAnsi="Times New Roman" w:cs="Times New Roman"/>
          <w:sz w:val="24"/>
          <w:szCs w:val="24"/>
        </w:rPr>
        <w:t xml:space="preserve">r defined </w:t>
      </w:r>
      <w:r w:rsidR="00773369">
        <w:rPr>
          <w:rFonts w:ascii="Times New Roman" w:hAnsi="Times New Roman" w:cs="Times New Roman"/>
          <w:sz w:val="24"/>
          <w:szCs w:val="24"/>
        </w:rPr>
        <w:t>price.</w:t>
      </w:r>
    </w:p>
    <w:p w:rsidR="008F1658" w:rsidRPr="008F1658" w:rsidRDefault="00247C0B" w:rsidP="008F1658">
      <w:pPr>
        <w:spacing w:line="480" w:lineRule="auto"/>
        <w:ind w:left="420"/>
        <w:jc w:val="both"/>
        <w:rPr>
          <w:rFonts w:ascii="Times New Roman" w:hAnsi="Times New Roman" w:cs="Times New Roman"/>
          <w:sz w:val="24"/>
          <w:szCs w:val="24"/>
        </w:rPr>
      </w:pPr>
    </w:p>
    <w:p w:rsidR="008F1658" w:rsidRPr="00773369" w:rsidRDefault="00247C0B" w:rsidP="00773369">
      <w:pPr>
        <w:pStyle w:val="ListParagraph"/>
        <w:numPr>
          <w:ilvl w:val="0"/>
          <w:numId w:val="1"/>
        </w:numPr>
        <w:spacing w:line="480" w:lineRule="auto"/>
        <w:jc w:val="both"/>
        <w:rPr>
          <w:rFonts w:ascii="Times New Roman" w:hAnsi="Times New Roman" w:cs="Times New Roman"/>
          <w:sz w:val="24"/>
          <w:szCs w:val="24"/>
        </w:rPr>
      </w:pPr>
      <w:r w:rsidRPr="008F1658">
        <w:rPr>
          <w:rFonts w:ascii="Times New Roman" w:hAnsi="Times New Roman" w:cs="Times New Roman"/>
          <w:sz w:val="24"/>
          <w:szCs w:val="24"/>
        </w:rPr>
        <w:t xml:space="preserve"> Delivery</w:t>
      </w:r>
      <w:r w:rsidRPr="008F1658">
        <w:rPr>
          <w:rFonts w:ascii="Times New Roman" w:hAnsi="Times New Roman" w:cs="Times New Roman"/>
          <w:sz w:val="24"/>
          <w:szCs w:val="24"/>
        </w:rPr>
        <w:t xml:space="preserve"> of a certificated transfer or security instruction has been </w:t>
      </w:r>
      <w:r w:rsidRPr="008F1658">
        <w:rPr>
          <w:rFonts w:ascii="Times New Roman" w:hAnsi="Times New Roman" w:cs="Times New Roman"/>
          <w:sz w:val="24"/>
          <w:szCs w:val="24"/>
        </w:rPr>
        <w:t xml:space="preserve">accepted, or the transferee has failed </w:t>
      </w:r>
      <w:r w:rsidRPr="008F1658">
        <w:rPr>
          <w:rFonts w:ascii="Times New Roman" w:hAnsi="Times New Roman" w:cs="Times New Roman"/>
          <w:sz w:val="24"/>
          <w:szCs w:val="24"/>
        </w:rPr>
        <w:t>to send the issuer with a written objection that confirms payment has been made, but the under this provision the contr</w:t>
      </w:r>
      <w:r w:rsidRPr="008F1658">
        <w:rPr>
          <w:rFonts w:ascii="Times New Roman" w:hAnsi="Times New Roman" w:cs="Times New Roman"/>
          <w:sz w:val="24"/>
          <w:szCs w:val="24"/>
        </w:rPr>
        <w:t>act is</w:t>
      </w:r>
      <w:r w:rsidRPr="008F1658">
        <w:rPr>
          <w:rFonts w:ascii="Times New Roman" w:hAnsi="Times New Roman" w:cs="Times New Roman"/>
          <w:sz w:val="24"/>
          <w:szCs w:val="24"/>
        </w:rPr>
        <w:t xml:space="preserve"> only</w:t>
      </w:r>
      <w:r w:rsidRPr="008F1658">
        <w:rPr>
          <w:rFonts w:ascii="Times New Roman" w:hAnsi="Times New Roman" w:cs="Times New Roman"/>
          <w:sz w:val="24"/>
          <w:szCs w:val="24"/>
        </w:rPr>
        <w:t xml:space="preserve"> enforceable</w:t>
      </w:r>
      <w:r w:rsidRPr="008F1658">
        <w:rPr>
          <w:rFonts w:ascii="Times New Roman" w:hAnsi="Times New Roman" w:cs="Times New Roman"/>
          <w:sz w:val="24"/>
          <w:szCs w:val="24"/>
        </w:rPr>
        <w:t xml:space="preserve"> to the extent of the delivery payment or registration</w:t>
      </w:r>
      <w:r w:rsidRPr="008F1658">
        <w:rPr>
          <w:rFonts w:ascii="Times New Roman" w:hAnsi="Times New Roman" w:cs="Times New Roman"/>
          <w:sz w:val="24"/>
          <w:szCs w:val="24"/>
        </w:rPr>
        <w:t>;</w:t>
      </w:r>
    </w:p>
    <w:p w:rsidR="00FA60A4" w:rsidRPr="008F1658" w:rsidRDefault="00247C0B" w:rsidP="008F1658">
      <w:pPr>
        <w:pStyle w:val="ListParagraph"/>
        <w:numPr>
          <w:ilvl w:val="0"/>
          <w:numId w:val="1"/>
        </w:numPr>
        <w:spacing w:line="480" w:lineRule="auto"/>
        <w:jc w:val="both"/>
        <w:rPr>
          <w:rFonts w:ascii="Times New Roman" w:hAnsi="Times New Roman" w:cs="Times New Roman"/>
          <w:sz w:val="24"/>
          <w:szCs w:val="24"/>
        </w:rPr>
      </w:pPr>
      <w:r w:rsidRPr="008F1658">
        <w:rPr>
          <w:rFonts w:ascii="Times New Roman" w:hAnsi="Times New Roman" w:cs="Times New Roman"/>
          <w:sz w:val="24"/>
          <w:szCs w:val="24"/>
        </w:rPr>
        <w:t>The</w:t>
      </w:r>
      <w:r w:rsidRPr="008F1658">
        <w:rPr>
          <w:rFonts w:ascii="Times New Roman" w:hAnsi="Times New Roman" w:cs="Times New Roman"/>
          <w:sz w:val="24"/>
          <w:szCs w:val="24"/>
        </w:rPr>
        <w:t xml:space="preserve"> party whom enforcement is sought concedes in their pleading, testimony, or otherwise in court that a contract of the stated quantity of securities described at a stated or defined price was made.</w:t>
      </w:r>
    </w:p>
    <w:p w:rsidR="00773369" w:rsidRPr="00DF618C" w:rsidRDefault="00773369" w:rsidP="00773369">
      <w:pPr>
        <w:spacing w:line="480" w:lineRule="auto"/>
        <w:jc w:val="both"/>
        <w:rPr>
          <w:rFonts w:ascii="Times New Roman" w:hAnsi="Times New Roman" w:cs="Times New Roman"/>
          <w:b/>
          <w:sz w:val="24"/>
          <w:szCs w:val="24"/>
        </w:rPr>
      </w:pPr>
      <w:r w:rsidRPr="00DF618C">
        <w:rPr>
          <w:rFonts w:ascii="Times New Roman" w:hAnsi="Times New Roman" w:cs="Times New Roman"/>
          <w:b/>
          <w:sz w:val="24"/>
          <w:szCs w:val="24"/>
        </w:rPr>
        <w:t>The court discussion</w:t>
      </w:r>
    </w:p>
    <w:p w:rsidR="009B3A96" w:rsidRPr="008F1658" w:rsidRDefault="00247C0B" w:rsidP="008F1658">
      <w:pPr>
        <w:spacing w:line="480" w:lineRule="auto"/>
        <w:ind w:firstLine="420"/>
        <w:jc w:val="both"/>
        <w:rPr>
          <w:rFonts w:ascii="Times New Roman" w:hAnsi="Times New Roman" w:cs="Times New Roman"/>
          <w:sz w:val="24"/>
          <w:szCs w:val="24"/>
        </w:rPr>
      </w:pPr>
      <w:r w:rsidRPr="008F1658">
        <w:rPr>
          <w:rFonts w:ascii="Times New Roman" w:hAnsi="Times New Roman" w:cs="Times New Roman"/>
          <w:sz w:val="24"/>
          <w:szCs w:val="24"/>
        </w:rPr>
        <w:t>During the trial of the case; the</w:t>
      </w:r>
      <w:r w:rsidRPr="008F1658">
        <w:rPr>
          <w:rFonts w:ascii="Times New Roman" w:hAnsi="Times New Roman" w:cs="Times New Roman"/>
          <w:sz w:val="24"/>
          <w:szCs w:val="24"/>
        </w:rPr>
        <w:t xml:space="preserve"> plaintiff's theory and th</w:t>
      </w:r>
      <w:r w:rsidRPr="008F1658">
        <w:rPr>
          <w:rFonts w:ascii="Times New Roman" w:hAnsi="Times New Roman" w:cs="Times New Roman"/>
          <w:sz w:val="24"/>
          <w:szCs w:val="24"/>
        </w:rPr>
        <w:t xml:space="preserve">e nature of the defense underwent profound </w:t>
      </w:r>
      <w:r w:rsidRPr="008F1658">
        <w:rPr>
          <w:rFonts w:ascii="Times New Roman" w:hAnsi="Times New Roman" w:cs="Times New Roman"/>
          <w:sz w:val="24"/>
          <w:szCs w:val="24"/>
        </w:rPr>
        <w:t>change, which</w:t>
      </w:r>
      <w:r w:rsidRPr="008F1658">
        <w:rPr>
          <w:rFonts w:ascii="Times New Roman" w:hAnsi="Times New Roman" w:cs="Times New Roman"/>
          <w:sz w:val="24"/>
          <w:szCs w:val="24"/>
        </w:rPr>
        <w:t xml:space="preserve"> resulted in motions </w:t>
      </w:r>
      <w:r w:rsidRPr="008F1658">
        <w:rPr>
          <w:rFonts w:ascii="Times New Roman" w:hAnsi="Times New Roman" w:cs="Times New Roman"/>
          <w:sz w:val="24"/>
          <w:szCs w:val="24"/>
        </w:rPr>
        <w:t xml:space="preserve">after judgment by the plaintiff to amend the complaint and the defendants to amend the answer, for each case to conform to the evidence. The trial judge </w:t>
      </w:r>
      <w:r w:rsidRPr="008F1658">
        <w:rPr>
          <w:rFonts w:ascii="Times New Roman" w:hAnsi="Times New Roman" w:cs="Times New Roman"/>
          <w:sz w:val="24"/>
          <w:szCs w:val="24"/>
        </w:rPr>
        <w:t>granted the</w:t>
      </w:r>
      <w:r w:rsidRPr="008F1658">
        <w:rPr>
          <w:rFonts w:ascii="Times New Roman" w:hAnsi="Times New Roman" w:cs="Times New Roman"/>
          <w:sz w:val="24"/>
          <w:szCs w:val="24"/>
        </w:rPr>
        <w:t xml:space="preserve"> motion by t</w:t>
      </w:r>
      <w:r w:rsidRPr="008F1658">
        <w:rPr>
          <w:rFonts w:ascii="Times New Roman" w:hAnsi="Times New Roman" w:cs="Times New Roman"/>
          <w:sz w:val="24"/>
          <w:szCs w:val="24"/>
        </w:rPr>
        <w:t xml:space="preserve">he defendant to change the answer while </w:t>
      </w:r>
      <w:r w:rsidRPr="008F1658">
        <w:rPr>
          <w:rFonts w:ascii="Times New Roman" w:hAnsi="Times New Roman" w:cs="Times New Roman"/>
          <w:sz w:val="24"/>
          <w:szCs w:val="24"/>
        </w:rPr>
        <w:t>s</w:t>
      </w:r>
      <w:r w:rsidRPr="008F1658">
        <w:rPr>
          <w:rFonts w:ascii="Times New Roman" w:hAnsi="Times New Roman" w:cs="Times New Roman"/>
          <w:sz w:val="24"/>
          <w:szCs w:val="24"/>
        </w:rPr>
        <w:t xml:space="preserve">he denied the motion </w:t>
      </w:r>
      <w:r w:rsidR="00DF618C">
        <w:rPr>
          <w:rFonts w:ascii="Times New Roman" w:hAnsi="Times New Roman" w:cs="Times New Roman"/>
          <w:sz w:val="24"/>
          <w:szCs w:val="24"/>
        </w:rPr>
        <w:t xml:space="preserve">by </w:t>
      </w:r>
      <w:r w:rsidRPr="008F1658">
        <w:rPr>
          <w:rFonts w:ascii="Times New Roman" w:hAnsi="Times New Roman" w:cs="Times New Roman"/>
          <w:sz w:val="24"/>
          <w:szCs w:val="24"/>
        </w:rPr>
        <w:t>plaintiff to amend the complaint.</w:t>
      </w:r>
    </w:p>
    <w:p w:rsidR="008F1658" w:rsidRPr="008F1658" w:rsidRDefault="00247C0B" w:rsidP="008F1658">
      <w:pPr>
        <w:spacing w:line="480" w:lineRule="auto"/>
        <w:jc w:val="both"/>
        <w:rPr>
          <w:rFonts w:ascii="Times New Roman" w:hAnsi="Times New Roman" w:cs="Times New Roman"/>
          <w:i/>
          <w:sz w:val="24"/>
          <w:szCs w:val="24"/>
        </w:rPr>
      </w:pPr>
      <w:r w:rsidRPr="008F1658">
        <w:rPr>
          <w:rFonts w:ascii="Times New Roman" w:hAnsi="Times New Roman" w:cs="Times New Roman"/>
          <w:i/>
          <w:sz w:val="24"/>
          <w:szCs w:val="24"/>
        </w:rPr>
        <w:t>The</w:t>
      </w:r>
      <w:r w:rsidRPr="008F1658">
        <w:rPr>
          <w:rFonts w:ascii="Times New Roman" w:hAnsi="Times New Roman" w:cs="Times New Roman"/>
          <w:i/>
          <w:sz w:val="24"/>
          <w:szCs w:val="24"/>
        </w:rPr>
        <w:t xml:space="preserve"> denial of</w:t>
      </w:r>
      <w:r w:rsidRPr="008F1658">
        <w:rPr>
          <w:rFonts w:ascii="Times New Roman" w:hAnsi="Times New Roman" w:cs="Times New Roman"/>
          <w:i/>
          <w:sz w:val="24"/>
          <w:szCs w:val="24"/>
        </w:rPr>
        <w:t xml:space="preserve"> complaint </w:t>
      </w:r>
      <w:r w:rsidRPr="008F1658">
        <w:rPr>
          <w:rFonts w:ascii="Times New Roman" w:hAnsi="Times New Roman" w:cs="Times New Roman"/>
          <w:i/>
          <w:sz w:val="24"/>
          <w:szCs w:val="24"/>
        </w:rPr>
        <w:t xml:space="preserve">amendment </w:t>
      </w:r>
      <w:r w:rsidRPr="008F1658">
        <w:rPr>
          <w:rFonts w:ascii="Times New Roman" w:hAnsi="Times New Roman" w:cs="Times New Roman"/>
          <w:i/>
          <w:sz w:val="24"/>
          <w:szCs w:val="24"/>
        </w:rPr>
        <w:t>motion</w:t>
      </w:r>
    </w:p>
    <w:p w:rsidR="00773369" w:rsidRDefault="00247C0B" w:rsidP="008F1658">
      <w:pPr>
        <w:spacing w:line="480" w:lineRule="auto"/>
        <w:ind w:firstLine="420"/>
        <w:jc w:val="both"/>
        <w:rPr>
          <w:rFonts w:ascii="Times New Roman" w:hAnsi="Times New Roman" w:cs="Times New Roman"/>
          <w:sz w:val="24"/>
          <w:szCs w:val="24"/>
        </w:rPr>
      </w:pPr>
      <w:r w:rsidRPr="008F1658">
        <w:rPr>
          <w:rFonts w:ascii="Times New Roman" w:hAnsi="Times New Roman" w:cs="Times New Roman"/>
          <w:sz w:val="24"/>
          <w:szCs w:val="24"/>
        </w:rPr>
        <w:t xml:space="preserve">The complaint amendment sought to substitute a stock option in Microwave for the HHI which at the time was worthless and to place the promise date relied upon </w:t>
      </w:r>
      <w:r w:rsidRPr="008F1658">
        <w:rPr>
          <w:rFonts w:ascii="Times New Roman" w:hAnsi="Times New Roman" w:cs="Times New Roman"/>
          <w:sz w:val="24"/>
          <w:szCs w:val="24"/>
        </w:rPr>
        <w:t xml:space="preserve">in March 1976, rather than in March 1978.As pointed out, the basis of the motion was to make the </w:t>
      </w:r>
      <w:r w:rsidRPr="008F1658">
        <w:rPr>
          <w:rFonts w:ascii="Times New Roman" w:hAnsi="Times New Roman" w:cs="Times New Roman"/>
          <w:sz w:val="24"/>
          <w:szCs w:val="24"/>
        </w:rPr>
        <w:t xml:space="preserve">pleadings conform to the evidence. </w:t>
      </w:r>
    </w:p>
    <w:p w:rsidR="00773369" w:rsidRDefault="00773369" w:rsidP="008F1658">
      <w:pPr>
        <w:spacing w:line="480" w:lineRule="auto"/>
        <w:ind w:firstLine="420"/>
        <w:jc w:val="both"/>
        <w:rPr>
          <w:rFonts w:ascii="Times New Roman" w:hAnsi="Times New Roman" w:cs="Times New Roman"/>
          <w:sz w:val="24"/>
          <w:szCs w:val="24"/>
        </w:rPr>
      </w:pPr>
    </w:p>
    <w:p w:rsidR="00126811" w:rsidRPr="008F1658" w:rsidRDefault="00247C0B" w:rsidP="008F1658">
      <w:pPr>
        <w:spacing w:line="480" w:lineRule="auto"/>
        <w:ind w:firstLine="420"/>
        <w:jc w:val="both"/>
        <w:rPr>
          <w:rFonts w:ascii="Times New Roman" w:hAnsi="Times New Roman" w:cs="Times New Roman"/>
          <w:sz w:val="24"/>
          <w:szCs w:val="24"/>
        </w:rPr>
      </w:pPr>
      <w:r w:rsidRPr="008F1658">
        <w:rPr>
          <w:rFonts w:ascii="Times New Roman" w:hAnsi="Times New Roman" w:cs="Times New Roman"/>
          <w:sz w:val="24"/>
          <w:szCs w:val="24"/>
        </w:rPr>
        <w:lastRenderedPageBreak/>
        <w:t>Therefore, such a motion assumes that the adjusted aspects of the case are tried by the parties' consent.</w:t>
      </w:r>
      <w:r w:rsidRPr="008F1658">
        <w:rPr>
          <w:rFonts w:ascii="Times New Roman" w:hAnsi="Times New Roman" w:cs="Times New Roman"/>
          <w:sz w:val="24"/>
          <w:szCs w:val="24"/>
        </w:rPr>
        <w:t xml:space="preserve"> The appellate judge argued in favor of the trial judge stating that she</w:t>
      </w:r>
      <w:r w:rsidRPr="008F1658">
        <w:rPr>
          <w:rFonts w:ascii="Times New Roman" w:hAnsi="Times New Roman" w:cs="Times New Roman"/>
          <w:sz w:val="24"/>
          <w:szCs w:val="24"/>
        </w:rPr>
        <w:t xml:space="preserve"> acted within her discretion when she denied</w:t>
      </w:r>
      <w:r w:rsidRPr="008F1658">
        <w:rPr>
          <w:rFonts w:ascii="Times New Roman" w:hAnsi="Times New Roman" w:cs="Times New Roman"/>
          <w:sz w:val="24"/>
          <w:szCs w:val="24"/>
        </w:rPr>
        <w:t xml:space="preserve"> the motion because of the complaint's focus on the March 17, 1978, memorandum, where HHI was mention rather than </w:t>
      </w:r>
      <w:r w:rsidR="00B2538F" w:rsidRPr="008F1658">
        <w:rPr>
          <w:rFonts w:ascii="Times New Roman" w:hAnsi="Times New Roman" w:cs="Times New Roman"/>
          <w:sz w:val="24"/>
          <w:szCs w:val="24"/>
        </w:rPr>
        <w:t>Microwave. Hence</w:t>
      </w:r>
      <w:r w:rsidRPr="008F1658">
        <w:rPr>
          <w:rFonts w:ascii="Times New Roman" w:hAnsi="Times New Roman" w:cs="Times New Roman"/>
          <w:sz w:val="24"/>
          <w:szCs w:val="24"/>
        </w:rPr>
        <w:t>, the judge ruled that the case was not to be tried by an agreement done before 1978.</w:t>
      </w:r>
    </w:p>
    <w:p w:rsidR="008F1658" w:rsidRPr="008F1658" w:rsidRDefault="00247C0B" w:rsidP="008F1658">
      <w:pPr>
        <w:spacing w:line="480" w:lineRule="auto"/>
        <w:jc w:val="both"/>
        <w:rPr>
          <w:rFonts w:ascii="Times New Roman" w:hAnsi="Times New Roman" w:cs="Times New Roman"/>
          <w:i/>
          <w:sz w:val="24"/>
          <w:szCs w:val="24"/>
        </w:rPr>
      </w:pPr>
      <w:r w:rsidRPr="008F1658">
        <w:rPr>
          <w:rFonts w:ascii="Times New Roman" w:hAnsi="Times New Roman" w:cs="Times New Roman"/>
          <w:i/>
          <w:sz w:val="24"/>
          <w:szCs w:val="24"/>
        </w:rPr>
        <w:t xml:space="preserve">Allowance of the answer amendment motion </w:t>
      </w:r>
    </w:p>
    <w:p w:rsidR="00FD54DF" w:rsidRPr="008F1658" w:rsidRDefault="00247C0B" w:rsidP="008F1658">
      <w:pPr>
        <w:spacing w:line="480" w:lineRule="auto"/>
        <w:ind w:firstLine="420"/>
        <w:jc w:val="both"/>
        <w:rPr>
          <w:rFonts w:ascii="Times New Roman" w:hAnsi="Times New Roman" w:cs="Times New Roman"/>
          <w:sz w:val="24"/>
          <w:szCs w:val="24"/>
        </w:rPr>
      </w:pPr>
      <w:r w:rsidRPr="008F1658">
        <w:rPr>
          <w:rFonts w:ascii="Times New Roman" w:hAnsi="Times New Roman" w:cs="Times New Roman"/>
          <w:sz w:val="24"/>
          <w:szCs w:val="24"/>
        </w:rPr>
        <w:t>The defendants</w:t>
      </w:r>
      <w:r w:rsidRPr="008F1658">
        <w:rPr>
          <w:rFonts w:ascii="Times New Roman" w:hAnsi="Times New Roman" w:cs="Times New Roman"/>
          <w:sz w:val="24"/>
          <w:szCs w:val="24"/>
        </w:rPr>
        <w:t xml:space="preserve"> did not plead the Statute of Frauds as a defense. </w:t>
      </w:r>
      <w:r w:rsidR="00C97A97" w:rsidRPr="008F1658">
        <w:rPr>
          <w:rFonts w:ascii="Times New Roman" w:hAnsi="Times New Roman" w:cs="Times New Roman"/>
          <w:sz w:val="24"/>
          <w:szCs w:val="24"/>
        </w:rPr>
        <w:t>Usually</w:t>
      </w:r>
      <w:r w:rsidRPr="008F1658">
        <w:rPr>
          <w:rFonts w:ascii="Times New Roman" w:hAnsi="Times New Roman" w:cs="Times New Roman"/>
          <w:sz w:val="24"/>
          <w:szCs w:val="24"/>
        </w:rPr>
        <w:t xml:space="preserve"> unless asked a Statute of Frauds cannot be relied upon, but the rule cannot apply if the complaint does not disclose</w:t>
      </w:r>
      <w:r w:rsidR="00C97A97">
        <w:rPr>
          <w:rFonts w:ascii="Times New Roman" w:hAnsi="Times New Roman" w:cs="Times New Roman"/>
          <w:sz w:val="24"/>
          <w:szCs w:val="24"/>
        </w:rPr>
        <w:t xml:space="preserve"> or avail</w:t>
      </w:r>
      <w:r w:rsidRPr="008F1658">
        <w:rPr>
          <w:rFonts w:ascii="Times New Roman" w:hAnsi="Times New Roman" w:cs="Times New Roman"/>
          <w:sz w:val="24"/>
          <w:szCs w:val="24"/>
        </w:rPr>
        <w:t xml:space="preserve"> the occasion to plead</w:t>
      </w:r>
      <w:r w:rsidRPr="008F1658">
        <w:rPr>
          <w:rFonts w:ascii="Times New Roman" w:hAnsi="Times New Roman" w:cs="Times New Roman"/>
          <w:sz w:val="24"/>
          <w:szCs w:val="24"/>
        </w:rPr>
        <w:t xml:space="preserve"> it.</w:t>
      </w:r>
      <w:r w:rsidRPr="008F1658">
        <w:rPr>
          <w:rFonts w:ascii="Times New Roman" w:hAnsi="Times New Roman" w:cs="Times New Roman"/>
          <w:sz w:val="24"/>
          <w:szCs w:val="24"/>
        </w:rPr>
        <w:t xml:space="preserve"> For instance,</w:t>
      </w:r>
      <w:r w:rsidRPr="008F1658">
        <w:rPr>
          <w:rFonts w:ascii="Times New Roman" w:hAnsi="Times New Roman" w:cs="Times New Roman"/>
          <w:i/>
          <w:iCs/>
          <w:color w:val="333333"/>
          <w:sz w:val="24"/>
          <w:szCs w:val="24"/>
          <w:shd w:val="clear" w:color="auto" w:fill="FFFFFF"/>
        </w:rPr>
        <w:t xml:space="preserve"> </w:t>
      </w:r>
      <w:r w:rsidRPr="008F1658">
        <w:rPr>
          <w:rFonts w:ascii="Times New Roman" w:hAnsi="Times New Roman" w:cs="Times New Roman"/>
          <w:i/>
          <w:iCs/>
          <w:sz w:val="24"/>
          <w:szCs w:val="24"/>
        </w:rPr>
        <w:t>Frank</w:t>
      </w:r>
      <w:r w:rsidRPr="008F1658">
        <w:rPr>
          <w:rFonts w:ascii="Times New Roman" w:hAnsi="Times New Roman" w:cs="Times New Roman"/>
          <w:sz w:val="24"/>
          <w:szCs w:val="24"/>
        </w:rPr>
        <w:t> v. </w:t>
      </w:r>
      <w:r w:rsidRPr="008F1658">
        <w:rPr>
          <w:rFonts w:ascii="Times New Roman" w:hAnsi="Times New Roman" w:cs="Times New Roman"/>
          <w:i/>
          <w:iCs/>
          <w:sz w:val="24"/>
          <w:szCs w:val="24"/>
        </w:rPr>
        <w:t>Visockas,</w:t>
      </w:r>
      <w:hyperlink r:id="rId8" w:history="1">
        <w:r w:rsidRPr="008F1658">
          <w:rPr>
            <w:rStyle w:val="Hyperlink"/>
            <w:rFonts w:ascii="Times New Roman" w:hAnsi="Times New Roman" w:cs="Times New Roman"/>
            <w:sz w:val="24"/>
            <w:szCs w:val="24"/>
          </w:rPr>
          <w:t>356 Mass. 227</w:t>
        </w:r>
      </w:hyperlink>
      <w:r w:rsidR="00C97A97">
        <w:rPr>
          <w:rFonts w:ascii="Times New Roman" w:hAnsi="Times New Roman" w:cs="Times New Roman"/>
          <w:sz w:val="24"/>
          <w:szCs w:val="24"/>
        </w:rPr>
        <w:t>, 229 (1969),</w:t>
      </w:r>
      <w:r w:rsidRPr="008F1658">
        <w:rPr>
          <w:rFonts w:ascii="Times New Roman" w:hAnsi="Times New Roman" w:cs="Times New Roman"/>
          <w:sz w:val="24"/>
          <w:szCs w:val="24"/>
        </w:rPr>
        <w:t xml:space="preserve"> from the way the case unfolded such that a defense must be pleaded, for </w:t>
      </w:r>
      <w:r w:rsidR="00C97A97" w:rsidRPr="008F1658">
        <w:rPr>
          <w:rFonts w:ascii="Times New Roman" w:hAnsi="Times New Roman" w:cs="Times New Roman"/>
          <w:sz w:val="24"/>
          <w:szCs w:val="24"/>
        </w:rPr>
        <w:t>example,</w:t>
      </w:r>
      <w:r w:rsidR="00C97A97">
        <w:rPr>
          <w:rFonts w:ascii="Times New Roman" w:hAnsi="Times New Roman" w:cs="Times New Roman"/>
          <w:sz w:val="24"/>
          <w:szCs w:val="24"/>
        </w:rPr>
        <w:t xml:space="preserve"> the Statute of Frauds wa</w:t>
      </w:r>
      <w:r w:rsidRPr="008F1658">
        <w:rPr>
          <w:rFonts w:ascii="Times New Roman" w:hAnsi="Times New Roman" w:cs="Times New Roman"/>
          <w:sz w:val="24"/>
          <w:szCs w:val="24"/>
        </w:rPr>
        <w:t>s to be relied upon. A trial judge can entertain an amendment motion of the answer to reflect the basis in which the case was tried.</w:t>
      </w:r>
    </w:p>
    <w:p w:rsidR="00FD5E41" w:rsidRPr="008F1658" w:rsidRDefault="00247C0B" w:rsidP="008F1658">
      <w:pPr>
        <w:spacing w:line="480" w:lineRule="auto"/>
        <w:ind w:firstLine="420"/>
        <w:jc w:val="both"/>
        <w:rPr>
          <w:rFonts w:ascii="Times New Roman" w:hAnsi="Times New Roman" w:cs="Times New Roman"/>
          <w:sz w:val="24"/>
          <w:szCs w:val="24"/>
        </w:rPr>
      </w:pPr>
      <w:r w:rsidRPr="008F1658">
        <w:rPr>
          <w:rFonts w:ascii="Times New Roman" w:hAnsi="Times New Roman" w:cs="Times New Roman"/>
          <w:sz w:val="24"/>
          <w:szCs w:val="24"/>
        </w:rPr>
        <w:t xml:space="preserve">The appellate judge was satisfied that </w:t>
      </w:r>
      <w:r w:rsidR="00E1067A">
        <w:rPr>
          <w:rFonts w:ascii="Times New Roman" w:hAnsi="Times New Roman" w:cs="Times New Roman"/>
          <w:sz w:val="24"/>
          <w:szCs w:val="24"/>
        </w:rPr>
        <w:t>the defendants had invoked the S</w:t>
      </w:r>
      <w:r w:rsidRPr="008F1658">
        <w:rPr>
          <w:rFonts w:ascii="Times New Roman" w:hAnsi="Times New Roman" w:cs="Times New Roman"/>
          <w:sz w:val="24"/>
          <w:szCs w:val="24"/>
        </w:rPr>
        <w:t>tatute of Frauds that relates to the sale of securities. Consequ</w:t>
      </w:r>
      <w:r w:rsidR="00E1067A">
        <w:rPr>
          <w:rFonts w:ascii="Times New Roman" w:hAnsi="Times New Roman" w:cs="Times New Roman"/>
          <w:sz w:val="24"/>
          <w:szCs w:val="24"/>
        </w:rPr>
        <w:t>ently, the case was tried on that</w:t>
      </w:r>
      <w:r w:rsidRPr="008F1658">
        <w:rPr>
          <w:rFonts w:ascii="Times New Roman" w:hAnsi="Times New Roman" w:cs="Times New Roman"/>
          <w:sz w:val="24"/>
          <w:szCs w:val="24"/>
        </w:rPr>
        <w:t xml:space="preserve"> </w:t>
      </w:r>
      <w:r w:rsidRPr="008F1658">
        <w:rPr>
          <w:rFonts w:ascii="Times New Roman" w:hAnsi="Times New Roman" w:cs="Times New Roman"/>
          <w:sz w:val="24"/>
          <w:szCs w:val="24"/>
        </w:rPr>
        <w:t>basis, and</w:t>
      </w:r>
      <w:r w:rsidRPr="008F1658">
        <w:rPr>
          <w:rFonts w:ascii="Times New Roman" w:hAnsi="Times New Roman" w:cs="Times New Roman"/>
          <w:sz w:val="24"/>
          <w:szCs w:val="24"/>
        </w:rPr>
        <w:t xml:space="preserve"> the trial judge was correct to allow the motion</w:t>
      </w:r>
      <w:r w:rsidRPr="008F1658">
        <w:rPr>
          <w:rFonts w:ascii="Times New Roman" w:hAnsi="Times New Roman" w:cs="Times New Roman"/>
          <w:sz w:val="24"/>
          <w:szCs w:val="24"/>
        </w:rPr>
        <w:t xml:space="preserve"> to amend the answer by the</w:t>
      </w:r>
      <w:r w:rsidRPr="008F1658">
        <w:rPr>
          <w:rFonts w:ascii="Times New Roman" w:hAnsi="Times New Roman" w:cs="Times New Roman"/>
          <w:sz w:val="24"/>
          <w:szCs w:val="24"/>
        </w:rPr>
        <w:t xml:space="preserve"> de</w:t>
      </w:r>
      <w:r w:rsidRPr="008F1658">
        <w:rPr>
          <w:rFonts w:ascii="Times New Roman" w:hAnsi="Times New Roman" w:cs="Times New Roman"/>
          <w:sz w:val="24"/>
          <w:szCs w:val="24"/>
        </w:rPr>
        <w:t>fendant</w:t>
      </w:r>
      <w:r w:rsidRPr="008F1658">
        <w:rPr>
          <w:rFonts w:ascii="Times New Roman" w:hAnsi="Times New Roman" w:cs="Times New Roman"/>
          <w:sz w:val="24"/>
          <w:szCs w:val="24"/>
        </w:rPr>
        <w:t xml:space="preserve">s so that </w:t>
      </w:r>
      <w:r w:rsidRPr="008F1658">
        <w:rPr>
          <w:rFonts w:ascii="Times New Roman" w:hAnsi="Times New Roman" w:cs="Times New Roman"/>
          <w:sz w:val="24"/>
          <w:szCs w:val="24"/>
        </w:rPr>
        <w:t xml:space="preserve">it conforms to the </w:t>
      </w:r>
      <w:r w:rsidRPr="008F1658">
        <w:rPr>
          <w:rFonts w:ascii="Times New Roman" w:hAnsi="Times New Roman" w:cs="Times New Roman"/>
          <w:sz w:val="24"/>
          <w:szCs w:val="24"/>
        </w:rPr>
        <w:t xml:space="preserve">evidence. In light of the denial by the judge to amend the complaint, it is possible for one to </w:t>
      </w:r>
      <w:r w:rsidR="00E1067A" w:rsidRPr="008F1658">
        <w:rPr>
          <w:rFonts w:ascii="Times New Roman" w:hAnsi="Times New Roman" w:cs="Times New Roman"/>
          <w:sz w:val="24"/>
          <w:szCs w:val="24"/>
        </w:rPr>
        <w:t>query</w:t>
      </w:r>
      <w:r w:rsidRPr="008F1658">
        <w:rPr>
          <w:rFonts w:ascii="Times New Roman" w:hAnsi="Times New Roman" w:cs="Times New Roman"/>
          <w:sz w:val="24"/>
          <w:szCs w:val="24"/>
        </w:rPr>
        <w:t xml:space="preserve"> why that was necessary to amend </w:t>
      </w:r>
      <w:r w:rsidR="00E1067A">
        <w:rPr>
          <w:rFonts w:ascii="Times New Roman" w:hAnsi="Times New Roman" w:cs="Times New Roman"/>
          <w:sz w:val="24"/>
          <w:szCs w:val="24"/>
        </w:rPr>
        <w:t xml:space="preserve">the answer. It was essential </w:t>
      </w:r>
      <w:r w:rsidRPr="008F1658">
        <w:rPr>
          <w:rFonts w:ascii="Times New Roman" w:hAnsi="Times New Roman" w:cs="Times New Roman"/>
          <w:sz w:val="24"/>
          <w:szCs w:val="24"/>
        </w:rPr>
        <w:t>because the evidence had been received about whether</w:t>
      </w:r>
      <w:r w:rsidRPr="008F1658">
        <w:rPr>
          <w:rFonts w:ascii="Times New Roman" w:hAnsi="Times New Roman" w:cs="Times New Roman"/>
          <w:sz w:val="24"/>
          <w:szCs w:val="24"/>
        </w:rPr>
        <w:t xml:space="preserve"> the stock option referred to </w:t>
      </w:r>
      <w:r w:rsidR="00E1067A">
        <w:rPr>
          <w:rFonts w:ascii="Times New Roman" w:hAnsi="Times New Roman" w:cs="Times New Roman"/>
          <w:sz w:val="24"/>
          <w:szCs w:val="24"/>
        </w:rPr>
        <w:t xml:space="preserve">was </w:t>
      </w:r>
      <w:r w:rsidRPr="008F1658">
        <w:rPr>
          <w:rFonts w:ascii="Times New Roman" w:hAnsi="Times New Roman" w:cs="Times New Roman"/>
          <w:sz w:val="24"/>
          <w:szCs w:val="24"/>
        </w:rPr>
        <w:t>Microwave or HHI.</w:t>
      </w:r>
    </w:p>
    <w:p w:rsidR="00E1067A" w:rsidRDefault="00E1067A" w:rsidP="008F1658">
      <w:pPr>
        <w:spacing w:line="480" w:lineRule="auto"/>
        <w:ind w:firstLine="420"/>
        <w:jc w:val="both"/>
        <w:rPr>
          <w:rFonts w:ascii="Times New Roman" w:hAnsi="Times New Roman" w:cs="Times New Roman"/>
          <w:sz w:val="24"/>
          <w:szCs w:val="24"/>
        </w:rPr>
      </w:pPr>
    </w:p>
    <w:p w:rsidR="00E1067A" w:rsidRDefault="00E1067A" w:rsidP="008F1658">
      <w:pPr>
        <w:spacing w:line="480" w:lineRule="auto"/>
        <w:ind w:firstLine="420"/>
        <w:jc w:val="both"/>
        <w:rPr>
          <w:rFonts w:ascii="Times New Roman" w:hAnsi="Times New Roman" w:cs="Times New Roman"/>
          <w:sz w:val="24"/>
          <w:szCs w:val="24"/>
        </w:rPr>
      </w:pPr>
    </w:p>
    <w:p w:rsidR="009B3A96" w:rsidRPr="008F1658" w:rsidRDefault="00247C0B" w:rsidP="008F1658">
      <w:pPr>
        <w:spacing w:line="480" w:lineRule="auto"/>
        <w:ind w:firstLine="420"/>
        <w:jc w:val="both"/>
        <w:rPr>
          <w:rFonts w:ascii="Times New Roman" w:hAnsi="Times New Roman" w:cs="Times New Roman"/>
          <w:sz w:val="24"/>
          <w:szCs w:val="24"/>
        </w:rPr>
      </w:pPr>
      <w:r w:rsidRPr="008F1658">
        <w:rPr>
          <w:rFonts w:ascii="Times New Roman" w:hAnsi="Times New Roman" w:cs="Times New Roman"/>
          <w:sz w:val="24"/>
          <w:szCs w:val="24"/>
        </w:rPr>
        <w:lastRenderedPageBreak/>
        <w:t xml:space="preserve">In </w:t>
      </w:r>
      <w:r w:rsidRPr="008F1658">
        <w:rPr>
          <w:rFonts w:ascii="Times New Roman" w:hAnsi="Times New Roman" w:cs="Times New Roman"/>
          <w:sz w:val="24"/>
          <w:szCs w:val="24"/>
        </w:rPr>
        <w:t>conclusion, the trial judge was correct to grant the</w:t>
      </w:r>
      <w:r w:rsidRPr="008F1658">
        <w:rPr>
          <w:rFonts w:ascii="Times New Roman" w:hAnsi="Times New Roman" w:cs="Times New Roman"/>
          <w:sz w:val="24"/>
          <w:szCs w:val="24"/>
        </w:rPr>
        <w:t xml:space="preserve"> judgmen</w:t>
      </w:r>
      <w:r w:rsidR="00E1067A">
        <w:rPr>
          <w:rFonts w:ascii="Times New Roman" w:hAnsi="Times New Roman" w:cs="Times New Roman"/>
          <w:sz w:val="24"/>
          <w:szCs w:val="24"/>
        </w:rPr>
        <w:t xml:space="preserve">t notwithstanding the verdict </w:t>
      </w:r>
      <w:r w:rsidR="00E1067A" w:rsidRPr="008F1658">
        <w:rPr>
          <w:rFonts w:ascii="Times New Roman" w:hAnsi="Times New Roman" w:cs="Times New Roman"/>
          <w:sz w:val="24"/>
          <w:szCs w:val="24"/>
        </w:rPr>
        <w:t>to</w:t>
      </w:r>
      <w:r w:rsidRPr="008F1658">
        <w:rPr>
          <w:rFonts w:ascii="Times New Roman" w:hAnsi="Times New Roman" w:cs="Times New Roman"/>
          <w:sz w:val="24"/>
          <w:szCs w:val="24"/>
        </w:rPr>
        <w:t xml:space="preserve"> the stock options part of the case. </w:t>
      </w:r>
      <w:r w:rsidRPr="008F1658">
        <w:rPr>
          <w:rFonts w:ascii="Times New Roman" w:hAnsi="Times New Roman" w:cs="Times New Roman"/>
          <w:sz w:val="24"/>
          <w:szCs w:val="24"/>
        </w:rPr>
        <w:t xml:space="preserve">It is because under </w:t>
      </w:r>
      <w:r w:rsidRPr="00E1067A">
        <w:rPr>
          <w:rFonts w:ascii="Times New Roman" w:hAnsi="Times New Roman" w:cs="Times New Roman"/>
          <w:sz w:val="24"/>
          <w:szCs w:val="24"/>
        </w:rPr>
        <w:t>the</w:t>
      </w:r>
      <w:r w:rsidRPr="00E1067A">
        <w:rPr>
          <w:rFonts w:ascii="Times New Roman" w:hAnsi="Times New Roman" w:cs="Times New Roman"/>
          <w:i/>
          <w:sz w:val="24"/>
          <w:szCs w:val="24"/>
        </w:rPr>
        <w:t xml:space="preserve"> applicability of 8-319 to an employee st</w:t>
      </w:r>
      <w:r w:rsidRPr="00E1067A">
        <w:rPr>
          <w:rFonts w:ascii="Times New Roman" w:hAnsi="Times New Roman" w:cs="Times New Roman"/>
          <w:i/>
          <w:sz w:val="24"/>
          <w:szCs w:val="24"/>
        </w:rPr>
        <w:t xml:space="preserve">ock </w:t>
      </w:r>
      <w:r w:rsidRPr="00E1067A">
        <w:rPr>
          <w:rFonts w:ascii="Times New Roman" w:hAnsi="Times New Roman" w:cs="Times New Roman"/>
          <w:i/>
          <w:sz w:val="24"/>
          <w:szCs w:val="24"/>
        </w:rPr>
        <w:t>option</w:t>
      </w:r>
      <w:r w:rsidRPr="008F1658">
        <w:rPr>
          <w:rFonts w:ascii="Times New Roman" w:hAnsi="Times New Roman" w:cs="Times New Roman"/>
          <w:sz w:val="24"/>
          <w:szCs w:val="24"/>
        </w:rPr>
        <w:t>: it had been settled that the option to buy stock emanates within the meaning of the phrase "contract for the sale of securities." That is, a</w:t>
      </w:r>
      <w:bookmarkStart w:id="0" w:name="_GoBack"/>
      <w:bookmarkEnd w:id="0"/>
      <w:r w:rsidRPr="008F1658">
        <w:rPr>
          <w:rFonts w:ascii="Times New Roman" w:hAnsi="Times New Roman" w:cs="Times New Roman"/>
          <w:sz w:val="24"/>
          <w:szCs w:val="24"/>
        </w:rPr>
        <w:t>n option to obtain shares of stock at a specific price and within a specified period.</w:t>
      </w:r>
    </w:p>
    <w:p w:rsidR="008F1658" w:rsidRDefault="00247C0B" w:rsidP="008F1658">
      <w:pPr>
        <w:spacing w:line="480" w:lineRule="auto"/>
        <w:jc w:val="center"/>
        <w:rPr>
          <w:rFonts w:ascii="Times New Roman" w:hAnsi="Times New Roman" w:cs="Times New Roman"/>
          <w:sz w:val="24"/>
          <w:szCs w:val="24"/>
        </w:rPr>
      </w:pPr>
    </w:p>
    <w:p w:rsidR="003C77A9" w:rsidRPr="008F1658" w:rsidRDefault="00247C0B" w:rsidP="008F1658">
      <w:pPr>
        <w:spacing w:line="480" w:lineRule="auto"/>
        <w:jc w:val="center"/>
        <w:rPr>
          <w:rFonts w:ascii="Times New Roman" w:hAnsi="Times New Roman" w:cs="Times New Roman"/>
          <w:sz w:val="24"/>
          <w:szCs w:val="24"/>
        </w:rPr>
      </w:pPr>
      <w:r w:rsidRPr="008F1658">
        <w:rPr>
          <w:rFonts w:ascii="Times New Roman" w:hAnsi="Times New Roman" w:cs="Times New Roman"/>
          <w:sz w:val="24"/>
          <w:szCs w:val="24"/>
        </w:rPr>
        <w:t>Work cited</w:t>
      </w:r>
    </w:p>
    <w:p w:rsidR="001B033B" w:rsidRPr="008F1658" w:rsidRDefault="00247C0B" w:rsidP="008F1658">
      <w:pPr>
        <w:spacing w:line="480" w:lineRule="auto"/>
        <w:jc w:val="both"/>
        <w:rPr>
          <w:rFonts w:ascii="Times New Roman" w:hAnsi="Times New Roman" w:cs="Times New Roman"/>
          <w:b/>
          <w:sz w:val="24"/>
          <w:szCs w:val="24"/>
        </w:rPr>
      </w:pPr>
      <w:hyperlink r:id="rId9" w:history="1">
        <w:r w:rsidRPr="008F1658">
          <w:rPr>
            <w:rStyle w:val="Hyperlink"/>
            <w:rFonts w:ascii="Times New Roman" w:hAnsi="Times New Roman" w:cs="Times New Roman"/>
            <w:sz w:val="24"/>
            <w:szCs w:val="24"/>
          </w:rPr>
          <w:t>https://law.justia.com/cases/massachusetts/court-of-appeals/1987/24-mass-app-ct-84-1.html</w:t>
        </w:r>
      </w:hyperlink>
    </w:p>
    <w:p w:rsidR="003C77A9" w:rsidRPr="008F1658" w:rsidRDefault="00247C0B" w:rsidP="008F1658">
      <w:pPr>
        <w:spacing w:line="480" w:lineRule="auto"/>
        <w:jc w:val="both"/>
        <w:rPr>
          <w:rFonts w:ascii="Times New Roman" w:hAnsi="Times New Roman" w:cs="Times New Roman"/>
          <w:sz w:val="24"/>
          <w:szCs w:val="24"/>
        </w:rPr>
      </w:pPr>
    </w:p>
    <w:sectPr w:rsidR="003C77A9" w:rsidRPr="008F1658">
      <w:headerReference w:type="default" r:id="rId10"/>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75B8C90A" w15:done="0"/>
  <w15:commentEx w15:paraId="EBD8AA2E" w15:done="0"/>
  <w15:commentEx w15:paraId="91237067" w15:done="0"/>
  <w15:commentEx w15:paraId="C4F3B015" w15:done="0"/>
  <w15:commentEx w15:paraId="54638A3E" w15:done="0"/>
  <w15:commentEx w15:paraId="42B3AD73" w15:done="0"/>
  <w15:commentEx w15:paraId="2DA4A66F" w15:done="0"/>
  <w15:commentEx w15:paraId="818B20FD" w15:done="0"/>
  <w15:commentEx w15:paraId="56847D8B" w15:done="0"/>
  <w15:commentEx w15:paraId="C6FF8F6D" w15:done="0"/>
  <w15:commentEx w15:paraId="F4CB5972" w15:done="0"/>
  <w15:commentEx w15:paraId="F50CAC5A" w15:done="0"/>
  <w15:commentEx w15:paraId="542A60AC" w15:done="0"/>
  <w15:commentEx w15:paraId="5C222595" w15:done="0"/>
  <w15:commentEx w15:paraId="5B137D8E" w15:done="0"/>
  <w15:commentEx w15:paraId="2EA9B2A5" w15:done="0"/>
  <w15:commentEx w15:paraId="BC1532F7" w15:done="0"/>
  <w15:commentEx w15:paraId="7C19DF37" w15:done="0"/>
  <w15:commentEx w15:paraId="CE0AE3DA" w15:done="0"/>
  <w15:commentEx w15:paraId="61E4AD4F" w15:done="0"/>
  <w15:commentEx w15:paraId="D811F40B" w15:done="0"/>
  <w15:commentEx w15:paraId="B844781A" w15:done="0"/>
  <w15:commentEx w15:paraId="75451E59" w15:done="0"/>
  <w15:commentEx w15:paraId="2F77259B" w15:done="0"/>
  <w15:commentEx w15:paraId="4256B9D9" w15:done="0"/>
  <w15:commentEx w15:paraId="E39BF437" w15:done="0"/>
  <w15:commentEx w15:paraId="C5418DB7" w15:done="0"/>
  <w15:commentEx w15:paraId="7F5FA92D" w15:done="0"/>
  <w15:commentEx w15:paraId="55930885" w15:done="0"/>
  <w15:commentEx w15:paraId="73B41582" w15:done="0"/>
  <w15:commentEx w15:paraId="07696B29" w15:done="0"/>
  <w15:commentEx w15:paraId="5B3102DD" w15:done="0"/>
  <w15:commentEx w15:paraId="3DF76FC4" w15:done="0"/>
  <w15:commentEx w15:paraId="C2C2613B" w15:done="0"/>
  <w15:commentEx w15:paraId="3AC48A45" w15:done="0"/>
  <w15:commentEx w15:paraId="0BB50E37" w15:done="0"/>
  <w15:commentEx w15:paraId="7103AE3D" w15:done="0"/>
  <w15:commentEx w15:paraId="D36D1BF2" w15:done="0"/>
  <w15:commentEx w15:paraId="C7C8D624" w15:done="0"/>
  <w15:commentEx w15:paraId="5B502858" w15:done="0"/>
  <w15:commentEx w15:paraId="71115DAF" w15:done="0"/>
  <w15:commentEx w15:paraId="1F464D2D" w15:done="0"/>
  <w15:commentEx w15:paraId="21F4A78C" w15:done="0"/>
  <w15:commentEx w15:paraId="74CC52FF" w15:done="0"/>
  <w15:commentEx w15:paraId="9BEC45CD" w15:done="0"/>
  <w15:commentEx w15:paraId="7750F29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7C0B" w:rsidRDefault="00247C0B">
      <w:pPr>
        <w:spacing w:after="0" w:line="240" w:lineRule="auto"/>
      </w:pPr>
      <w:r>
        <w:separator/>
      </w:r>
    </w:p>
  </w:endnote>
  <w:endnote w:type="continuationSeparator" w:id="0">
    <w:p w:rsidR="00247C0B" w:rsidRDefault="00247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7C0B" w:rsidRDefault="00247C0B">
      <w:pPr>
        <w:spacing w:after="0" w:line="240" w:lineRule="auto"/>
      </w:pPr>
      <w:r>
        <w:separator/>
      </w:r>
    </w:p>
  </w:footnote>
  <w:footnote w:type="continuationSeparator" w:id="0">
    <w:p w:rsidR="00247C0B" w:rsidRDefault="00247C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6291730"/>
      <w:docPartObj>
        <w:docPartGallery w:val="Page Numbers (Top of Page)"/>
        <w:docPartUnique/>
      </w:docPartObj>
    </w:sdtPr>
    <w:sdtEndPr>
      <w:rPr>
        <w:noProof/>
      </w:rPr>
    </w:sdtEndPr>
    <w:sdtContent>
      <w:p w:rsidR="008F1658" w:rsidRPr="008F1658" w:rsidRDefault="00247C0B">
        <w:pPr>
          <w:pStyle w:val="Header"/>
          <w:jc w:val="right"/>
          <w:rPr>
            <w:rFonts w:ascii="Times New Roman" w:hAnsi="Times New Roman" w:cs="Times New Roman"/>
            <w:sz w:val="24"/>
            <w:szCs w:val="24"/>
          </w:rPr>
        </w:pPr>
        <w:r w:rsidRPr="008F1658">
          <w:rPr>
            <w:rFonts w:ascii="Times New Roman" w:hAnsi="Times New Roman" w:cs="Times New Roman"/>
            <w:sz w:val="24"/>
            <w:szCs w:val="24"/>
          </w:rPr>
          <w:t xml:space="preserve">Surname </w:t>
        </w:r>
        <w:r w:rsidRPr="008F1658">
          <w:rPr>
            <w:rFonts w:ascii="Times New Roman" w:hAnsi="Times New Roman" w:cs="Times New Roman"/>
            <w:sz w:val="24"/>
            <w:szCs w:val="24"/>
          </w:rPr>
          <w:fldChar w:fldCharType="begin"/>
        </w:r>
        <w:r w:rsidRPr="008F1658">
          <w:rPr>
            <w:rFonts w:ascii="Times New Roman" w:hAnsi="Times New Roman" w:cs="Times New Roman"/>
            <w:sz w:val="24"/>
            <w:szCs w:val="24"/>
          </w:rPr>
          <w:instrText xml:space="preserve"> PAGE   \* MERGEFORMAT </w:instrText>
        </w:r>
        <w:r w:rsidRPr="008F1658">
          <w:rPr>
            <w:rFonts w:ascii="Times New Roman" w:hAnsi="Times New Roman" w:cs="Times New Roman"/>
            <w:sz w:val="24"/>
            <w:szCs w:val="24"/>
          </w:rPr>
          <w:fldChar w:fldCharType="separate"/>
        </w:r>
        <w:r w:rsidR="00E1067A">
          <w:rPr>
            <w:rFonts w:ascii="Times New Roman" w:hAnsi="Times New Roman" w:cs="Times New Roman"/>
            <w:noProof/>
            <w:sz w:val="24"/>
            <w:szCs w:val="24"/>
          </w:rPr>
          <w:t>4</w:t>
        </w:r>
        <w:r w:rsidRPr="008F1658">
          <w:rPr>
            <w:rFonts w:ascii="Times New Roman" w:hAnsi="Times New Roman" w:cs="Times New Roman"/>
            <w:noProof/>
            <w:sz w:val="24"/>
            <w:szCs w:val="24"/>
          </w:rPr>
          <w:fldChar w:fldCharType="end"/>
        </w:r>
      </w:p>
    </w:sdtContent>
  </w:sdt>
  <w:p w:rsidR="008F1658" w:rsidRPr="008F1658" w:rsidRDefault="00247C0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6B0A2A"/>
    <w:multiLevelType w:val="hybridMultilevel"/>
    <w:tmpl w:val="4C0E311E"/>
    <w:lvl w:ilvl="0" w:tplc="A56214AE">
      <w:start w:val="1"/>
      <w:numFmt w:val="lowerLetter"/>
      <w:lvlText w:val="%1)"/>
      <w:lvlJc w:val="left"/>
      <w:pPr>
        <w:ind w:left="780" w:hanging="360"/>
      </w:pPr>
    </w:lvl>
    <w:lvl w:ilvl="1" w:tplc="AF7006BA" w:tentative="1">
      <w:start w:val="1"/>
      <w:numFmt w:val="lowerLetter"/>
      <w:lvlText w:val="%2."/>
      <w:lvlJc w:val="left"/>
      <w:pPr>
        <w:ind w:left="1500" w:hanging="360"/>
      </w:pPr>
    </w:lvl>
    <w:lvl w:ilvl="2" w:tplc="66F07E26" w:tentative="1">
      <w:start w:val="1"/>
      <w:numFmt w:val="lowerRoman"/>
      <w:lvlText w:val="%3."/>
      <w:lvlJc w:val="right"/>
      <w:pPr>
        <w:ind w:left="2220" w:hanging="180"/>
      </w:pPr>
    </w:lvl>
    <w:lvl w:ilvl="3" w:tplc="14C65E18" w:tentative="1">
      <w:start w:val="1"/>
      <w:numFmt w:val="decimal"/>
      <w:lvlText w:val="%4."/>
      <w:lvlJc w:val="left"/>
      <w:pPr>
        <w:ind w:left="2940" w:hanging="360"/>
      </w:pPr>
    </w:lvl>
    <w:lvl w:ilvl="4" w:tplc="5844A292" w:tentative="1">
      <w:start w:val="1"/>
      <w:numFmt w:val="lowerLetter"/>
      <w:lvlText w:val="%5."/>
      <w:lvlJc w:val="left"/>
      <w:pPr>
        <w:ind w:left="3660" w:hanging="360"/>
      </w:pPr>
    </w:lvl>
    <w:lvl w:ilvl="5" w:tplc="2C229758" w:tentative="1">
      <w:start w:val="1"/>
      <w:numFmt w:val="lowerRoman"/>
      <w:lvlText w:val="%6."/>
      <w:lvlJc w:val="right"/>
      <w:pPr>
        <w:ind w:left="4380" w:hanging="180"/>
      </w:pPr>
    </w:lvl>
    <w:lvl w:ilvl="6" w:tplc="B57AB25C" w:tentative="1">
      <w:start w:val="1"/>
      <w:numFmt w:val="decimal"/>
      <w:lvlText w:val="%7."/>
      <w:lvlJc w:val="left"/>
      <w:pPr>
        <w:ind w:left="5100" w:hanging="360"/>
      </w:pPr>
    </w:lvl>
    <w:lvl w:ilvl="7" w:tplc="FBC2E47E" w:tentative="1">
      <w:start w:val="1"/>
      <w:numFmt w:val="lowerLetter"/>
      <w:lvlText w:val="%8."/>
      <w:lvlJc w:val="left"/>
      <w:pPr>
        <w:ind w:left="5820" w:hanging="360"/>
      </w:pPr>
    </w:lvl>
    <w:lvl w:ilvl="8" w:tplc="5BF434F4" w:tentative="1">
      <w:start w:val="1"/>
      <w:numFmt w:val="lowerRoman"/>
      <w:lvlText w:val="%9."/>
      <w:lvlJc w:val="right"/>
      <w:pPr>
        <w:ind w:left="65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6A9"/>
    <w:rsid w:val="000926A9"/>
    <w:rsid w:val="00247C0B"/>
    <w:rsid w:val="00773369"/>
    <w:rsid w:val="00B2538F"/>
    <w:rsid w:val="00C97A97"/>
    <w:rsid w:val="00DF618C"/>
    <w:rsid w:val="00E10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3077"/>
    <w:rPr>
      <w:color w:val="0000FF" w:themeColor="hyperlink"/>
      <w:u w:val="single"/>
    </w:rPr>
  </w:style>
  <w:style w:type="paragraph" w:styleId="Header">
    <w:name w:val="header"/>
    <w:basedOn w:val="Normal"/>
    <w:link w:val="HeaderChar"/>
    <w:uiPriority w:val="99"/>
    <w:unhideWhenUsed/>
    <w:rsid w:val="008F1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658"/>
  </w:style>
  <w:style w:type="paragraph" w:styleId="Footer">
    <w:name w:val="footer"/>
    <w:basedOn w:val="Normal"/>
    <w:link w:val="FooterChar"/>
    <w:uiPriority w:val="99"/>
    <w:unhideWhenUsed/>
    <w:rsid w:val="008F1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658"/>
  </w:style>
  <w:style w:type="paragraph" w:styleId="ListParagraph">
    <w:name w:val="List Paragraph"/>
    <w:basedOn w:val="Normal"/>
    <w:uiPriority w:val="34"/>
    <w:qFormat/>
    <w:rsid w:val="008F1658"/>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53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3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3077"/>
    <w:rPr>
      <w:color w:val="0000FF" w:themeColor="hyperlink"/>
      <w:u w:val="single"/>
    </w:rPr>
  </w:style>
  <w:style w:type="paragraph" w:styleId="Header">
    <w:name w:val="header"/>
    <w:basedOn w:val="Normal"/>
    <w:link w:val="HeaderChar"/>
    <w:uiPriority w:val="99"/>
    <w:unhideWhenUsed/>
    <w:rsid w:val="008F1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658"/>
  </w:style>
  <w:style w:type="paragraph" w:styleId="Footer">
    <w:name w:val="footer"/>
    <w:basedOn w:val="Normal"/>
    <w:link w:val="FooterChar"/>
    <w:uiPriority w:val="99"/>
    <w:unhideWhenUsed/>
    <w:rsid w:val="008F1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658"/>
  </w:style>
  <w:style w:type="paragraph" w:styleId="ListParagraph">
    <w:name w:val="List Paragraph"/>
    <w:basedOn w:val="Normal"/>
    <w:uiPriority w:val="34"/>
    <w:qFormat/>
    <w:rsid w:val="008F1658"/>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53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3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urtlistener.com/opinion/2089929/frank-v-visockas/" TargetMode="Externa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aw.justia.com/cases/massachusetts/court-of-appeals/1987/24-mass-app-ct-8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8</cp:revision>
  <dcterms:created xsi:type="dcterms:W3CDTF">2018-03-17T04:28:00Z</dcterms:created>
  <dcterms:modified xsi:type="dcterms:W3CDTF">2018-03-17T05:06:00Z</dcterms:modified>
</cp:coreProperties>
</file>